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center"/>
      </w:pPr>
      <w:r>
        <w:rPr>
          <w:rFonts w:ascii="Calibri" w:hAnsi="Calibri" w:cs="Calibri"/>
          <w:b/>
          <w:i w:val="0"/>
          <w:sz w:val="40"/>
        </w:rPr>
        <w:t>TOM MELCHIONNA</w:t>
      </w:r>
    </w:p>
    <w:p>
      <w:pPr>
        <w:spacing w:after="40" w:before="0" w:line="240" w:lineRule="auto"/>
        <w:jc w:val="center"/>
      </w:pPr>
      <w:r>
        <w:rPr>
          <w:rFonts w:ascii="Calibri" w:hAnsi="Calibri" w:cs="Calibri"/>
          <w:b/>
          <w:i w:val="0"/>
          <w:sz w:val="24"/>
        </w:rPr>
        <w:t>Fractional CTO &amp; Platform / DevOps Architect</w:t>
      </w:r>
    </w:p>
    <w:p>
      <w:pPr>
        <w:spacing w:after="40" w:before="0" w:line="240" w:lineRule="auto"/>
        <w:jc w:val="center"/>
      </w:pPr>
      <w:r>
        <w:rPr>
          <w:rFonts w:ascii="Calibri" w:hAnsi="Calibri" w:cs="Calibri"/>
          <w:b w:val="0"/>
          <w:i/>
          <w:color w:val="333333"/>
          <w:sz w:val="21"/>
        </w:rPr>
        <w:t>Engineering Strategy, Cloud-Native Architecture, and AI Infrastructure for Scaling Teams</w:t>
      </w:r>
    </w:p>
    <w:p>
      <w:pPr>
        <w:spacing w:after="120" w:before="0" w:line="240" w:lineRule="auto"/>
        <w:jc w:val="center"/>
      </w:pPr>
      <w:r>
        <w:rPr>
          <w:rFonts w:ascii="Calibri" w:hAnsi="Calibri" w:cs="Calibri"/>
          <w:b w:val="0"/>
          <w:i w:val="0"/>
          <w:sz w:val="20"/>
        </w:rPr>
        <w:t>tmelchionna@gmail.com · 303-720-8821 · Lone Tree, CO · linkedin.com/in/TomMelchionna · github.com/[handle] · [portfolio-url]</w:t>
      </w:r>
    </w:p>
    <w:p>
      <w:pPr>
        <w:spacing w:after="12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Technical leader and platform architect with 15+ years progressing from telecom engineering and global delivery leadership to hands-on design of cloud-native, API-first systems. Sets engineering strategy and reference architecture as a fractional CTO. I know how mega-corps build enterprise-grade, high-availability infrastructure — and I build that same bulletproof foundation for startups, lean and without the overhead.</w:t>
      </w:r>
    </w:p>
    <w:p>
      <w:pPr>
        <w:spacing w:after="12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Fluent across API-first design (OpenAPI), Docker and Kubernetes microservices, Infrastructure-as-Code, PostgreSQL/SQL data architecture, LLM gateway and model-routing infrastructure, and technical governance via architecture decision records. Brings enterprise delivery discipline and measurable outcomes to every layer of the stack.</w:t>
      </w:r>
    </w:p>
    <w:p>
      <w:pPr>
        <w:spacing w:after="60" w:before="18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2"/>
        </w:rPr>
        <w:t>KEY STRENGTHS</w:t>
      </w:r>
    </w:p>
    <w:p>
      <w:pPr>
        <w:spacing w:after="12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Technical Strategy &amp; Architecture · Fractional CTO / Engineering Leadership · Cloud &amp; Container Architecture · Infrastructure-as-Code · API-First Design (OpenAPI) · Relational Database Architecture (PostgreSQL/SQL) · AI Infrastructure &amp; LLMOps · Microservices &amp; Distributed Systems · DevOps &amp; CI/CD Automation · Engineering Governance · System Design &amp; Scalability · Enterprise Delivery &amp; Stakeholder Leadership</w:t>
      </w:r>
    </w:p>
    <w:p>
      <w:pPr>
        <w:spacing w:after="60" w:before="18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2"/>
        </w:rPr>
        <w:t>TECHNICAL SKILLS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Languages: </w:t>
      </w:r>
      <w:r>
        <w:rPr>
          <w:rFonts w:ascii="Calibri" w:hAnsi="Calibri" w:cs="Calibri"/>
          <w:b w:val="0"/>
          <w:i w:val="0"/>
          <w:sz w:val="21"/>
        </w:rPr>
        <w:t>Go · Python · Rust · JavaScript/TypeScript · SQL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Frontend: </w:t>
      </w:r>
      <w:r>
        <w:rPr>
          <w:rFonts w:ascii="Calibri" w:hAnsi="Calibri" w:cs="Calibri"/>
          <w:b w:val="0"/>
          <w:i w:val="0"/>
          <w:sz w:val="21"/>
        </w:rPr>
        <w:t>React · Vite · Node.js / npm · HTMX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Containers &amp; Orchestration: </w:t>
      </w:r>
      <w:r>
        <w:rPr>
          <w:rFonts w:ascii="Calibri" w:hAnsi="Calibri" w:cs="Calibri"/>
          <w:b w:val="0"/>
          <w:i w:val="0"/>
          <w:sz w:val="21"/>
        </w:rPr>
        <w:t>Docker · Docker Compose · Podman · systemd Quadlet · Kubernetes (Kustomize)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Infrastructure &amp; DevOps: </w:t>
      </w:r>
      <w:r>
        <w:rPr>
          <w:rFonts w:ascii="Calibri" w:hAnsi="Calibri" w:cs="Calibri"/>
          <w:b w:val="0"/>
          <w:i w:val="0"/>
          <w:sz w:val="21"/>
        </w:rPr>
        <w:t>Infrastructure-as-Code · CI/CD Pipelines · Network Policies · Secret &amp; Vulnerability Scanning · SBOM · Observability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APIs &amp; Data: </w:t>
      </w:r>
      <w:r>
        <w:rPr>
          <w:rFonts w:ascii="Calibri" w:hAnsi="Calibri" w:cs="Calibri"/>
          <w:b w:val="0"/>
          <w:i w:val="0"/>
          <w:sz w:val="21"/>
        </w:rPr>
        <w:t>API-First / OpenAPI · REST · PostgreSQL / SQL · Schema Governance · Database Replication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AI Infrastructure: </w:t>
      </w:r>
      <w:r>
        <w:rPr>
          <w:rFonts w:ascii="Calibri" w:hAnsi="Calibri" w:cs="Calibri"/>
          <w:b w:val="0"/>
          <w:i w:val="0"/>
          <w:sz w:val="21"/>
        </w:rPr>
        <w:t>LLM Gateway &amp; Model Routing · LLMOps · Self-Hosted Inference · Evaluation Gates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Business Intelligence: </w:t>
      </w:r>
      <w:r>
        <w:rPr>
          <w:rFonts w:ascii="Calibri" w:hAnsi="Calibri" w:cs="Calibri"/>
          <w:b w:val="0"/>
          <w:i w:val="0"/>
          <w:sz w:val="21"/>
        </w:rPr>
        <w:t>KPI Dashboards · Executive Reporting · Forecasting · Operational Analytics</w:t>
      </w:r>
    </w:p>
    <w:p>
      <w:pPr>
        <w:spacing w:after="60" w:before="18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2"/>
        </w:rPr>
        <w:t>PROFESSIONAL EXPERIENCE</w:t>
      </w:r>
    </w:p>
    <w:p>
      <w:pPr>
        <w:keepNext/>
        <w:tabs>
          <w:tab w:pos="9360" w:val="right"/>
        </w:tabs>
        <w:spacing w:after="0" w:before="120" w:line="240" w:lineRule="auto"/>
        <w:jc w:val="left"/>
      </w:pPr>
      <w:r>
        <w:rPr>
          <w:rFonts w:ascii="Calibri" w:hAnsi="Calibri" w:cs="Calibri"/>
          <w:b/>
          <w:i w:val="0"/>
          <w:sz w:val="21"/>
        </w:rPr>
        <w:t>HARDPOINT CORE TECHNOLOGIES, United States (Remote)</w:t>
      </w:r>
      <w:r>
        <w:rPr>
          <w:rFonts w:ascii="Calibri" w:hAnsi="Calibri" w:cs="Calibri"/>
          <w:b w:val="0"/>
          <w:i w:val="0"/>
          <w:sz w:val="21"/>
        </w:rPr>
        <w:tab/>
        <w:t>01/2025 – Present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Founder &amp; Principal Architect (Fractional CTO)</w:t>
      </w:r>
    </w:p>
    <w:p>
      <w:pPr>
        <w:keepNext/>
        <w:spacing w:after="60" w:before="0" w:line="252" w:lineRule="auto"/>
        <w:jc w:val="left"/>
      </w:pPr>
      <w:r>
        <w:rPr>
          <w:rFonts w:ascii="Calibri" w:hAnsi="Calibri" w:cs="Calibri"/>
          <w:b w:val="0"/>
          <w:i/>
          <w:sz w:val="21"/>
        </w:rPr>
        <w:t>Founded and architected a cloud-native, multi-service AI platform, owning engineering strategy, system design, and hands-on implementation across application, data, infrastructure, and AI layers.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Defined technical strategy and reference architecture for a multi-service platform with API-first / contract-first design (OpenAPI) and enforced data contracts across services.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Architected the relational data layer with SQL schema governance, migration discipline, and read-replica durability across PostgreSQL-compatible tiers.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Containerized microservices with Docker; authored Kubernetes (Kustomize) manifests and Podman/Quadlet systemd units for reproducible environments.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Implemented automated CI/CD with secret scanning, dependency/vulnerability scanning, SBOM generation, and API contract-parity checks.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Designed AI infrastructure: provider-neutral LLM gateway, model-routing policy, and evaluation gates (LLMOps).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Designed and built AIAO.ROCKS — a control-plane-first AI gateway: schema-first PocketBase data plane, Go execution backend, provider-neutral model routing (OpenRouter / Together / LiteLLM), OpenAPI + Bruno contract verification, and an operator cockpit UI — applying the R.O.C.K.S. framework (Rules, Objectives, Constraints, Knowledge, State).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Pioneering an early implementation of Google Cloud's open, vendor-neutral Open Knowledge Format (OKF v0.1), building tools and use cases on the spec (markdown + YAML-frontmatter knowledge bundles for AI agents). Independent implementer; not affiliated with Google.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Established engineering governance: architecture decision records, documentation authority, and tiered API/testing standards.</w:t>
      </w:r>
    </w:p>
    <w:p>
      <w:pPr>
        <w:keepNext/>
        <w:tabs>
          <w:tab w:pos="9360" w:val="right"/>
        </w:tabs>
        <w:spacing w:after="0" w:before="120" w:line="240" w:lineRule="auto"/>
        <w:jc w:val="left"/>
      </w:pPr>
      <w:r>
        <w:rPr>
          <w:rFonts w:ascii="Calibri" w:hAnsi="Calibri" w:cs="Calibri"/>
          <w:b/>
          <w:i w:val="0"/>
          <w:sz w:val="21"/>
        </w:rPr>
        <w:t>NiCE, United States (Remote)</w:t>
      </w:r>
      <w:r>
        <w:rPr>
          <w:rFonts w:ascii="Calibri" w:hAnsi="Calibri" w:cs="Calibri"/>
          <w:b w:val="0"/>
          <w:i w:val="0"/>
          <w:sz w:val="21"/>
        </w:rPr>
        <w:tab/>
        <w:t>04/2026 – Present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Professional Services Engineer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Partner with enterprise customers and internal teams to deliver CCaaS implementations, integrations, and post-launch success across multi-module deployments.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Bridge customer requirements with API, integration, and platform design developed through hands-on system architecture work.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Collaborate with Product, Engineering, and Customer Success to resolve delivery blockers and improve predictability.</w:t>
      </w:r>
    </w:p>
    <w:p>
      <w:pPr>
        <w:keepNext/>
        <w:tabs>
          <w:tab w:pos="9360" w:val="right"/>
        </w:tabs>
        <w:spacing w:after="0" w:before="120" w:line="240" w:lineRule="auto"/>
        <w:jc w:val="left"/>
      </w:pPr>
      <w:r>
        <w:rPr>
          <w:rFonts w:ascii="Calibri" w:hAnsi="Calibri" w:cs="Calibri"/>
          <w:b/>
          <w:i w:val="0"/>
          <w:sz w:val="21"/>
        </w:rPr>
        <w:t>VONAGE BUSINESS, United States (Remote)</w:t>
      </w:r>
      <w:r>
        <w:rPr>
          <w:rFonts w:ascii="Calibri" w:hAnsi="Calibri" w:cs="Calibri"/>
          <w:b w:val="0"/>
          <w:i w:val="0"/>
          <w:sz w:val="21"/>
        </w:rPr>
        <w:tab/>
        <w:t>2014 – 2025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Professional Services Manager</w:t>
      </w:r>
      <w:r>
        <w:rPr>
          <w:rFonts w:ascii="Calibri" w:hAnsi="Calibri" w:cs="Calibri"/>
          <w:b w:val="0"/>
          <w:i w:val="0"/>
          <w:color w:val="333333"/>
          <w:sz w:val="21"/>
        </w:rPr>
        <w:tab/>
        <w:t>07/2017 – 09/2025</w:t>
      </w:r>
    </w:p>
    <w:p>
      <w:pPr>
        <w:keepNext/>
        <w:spacing w:after="60" w:before="0" w:line="252" w:lineRule="auto"/>
        <w:jc w:val="left"/>
      </w:pPr>
      <w:r>
        <w:rPr>
          <w:rFonts w:ascii="Calibri" w:hAnsi="Calibri" w:cs="Calibri"/>
          <w:b w:val="0"/>
          <w:i/>
          <w:sz w:val="21"/>
        </w:rPr>
        <w:t>Advanced from supervisor to senior leadership to head the Global Professional Services organization, overseeing $20M–$30M in ARR across retail, franchise, municipal, and healthcare deployments.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Transformed operations through KPI dashboards and continuous improvement frameworks that shaped current business processes.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Reduced project overruns by 30% and delivery timelines by 33%, driving predictable execution.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Launched a near-shore Tier 1 provisioning team, boosting project throughput by 25% while achieving 95% CSAT.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Led enterprise onboarding for high-profile clients in retail, finance, and public safety, managing backlogs, forecasts, and recurring revenue.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Partnered cross-functionally with Product, Sales, Engineering, and Customer Success, presenting operational insights and business cases to senior leadership.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Professional Services Supervisor</w:t>
      </w:r>
      <w:r>
        <w:rPr>
          <w:rFonts w:ascii="Calibri" w:hAnsi="Calibri" w:cs="Calibri"/>
          <w:b w:val="0"/>
          <w:i w:val="0"/>
          <w:color w:val="333333"/>
          <w:sz w:val="21"/>
        </w:rPr>
        <w:tab/>
        <w:t>12/2015 – 07/2017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Spearheaded RFP and vendor selection to launch the company's first outsourced provisioning team, establishing scalable procedures, training frameworks, and operational standards.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Designed professional services frameworks with Voice, Data, and Project Management teams across Vonage's “Elite” and “Advanced” customer segments.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Led resolution of high-complexity technical escalations to stabilize accounts and minimize churn.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Voice / Data Provisioner III</w:t>
      </w:r>
      <w:r>
        <w:rPr>
          <w:rFonts w:ascii="Calibri" w:hAnsi="Calibri" w:cs="Calibri"/>
          <w:b w:val="0"/>
          <w:i w:val="0"/>
          <w:color w:val="333333"/>
          <w:sz w:val="21"/>
        </w:rPr>
        <w:tab/>
        <w:t>09/2014 – 12/2015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Designed and deployed advanced contact center solutions for multi-site, high-volume environments, integrating SIP trunking, IVR, and third-party platforms.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Led full project lifecycle from discovery and architecture through implementation.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Managed 50+ concurrent client deployments at &gt;99% SLA compliance, driving $100K+ new MRR/quarter.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Customer Service &amp; Support Engineer II</w:t>
      </w:r>
      <w:r>
        <w:rPr>
          <w:rFonts w:ascii="Calibri" w:hAnsi="Calibri" w:cs="Calibri"/>
          <w:b w:val="0"/>
          <w:i w:val="0"/>
          <w:color w:val="333333"/>
          <w:sz w:val="21"/>
        </w:rPr>
        <w:tab/>
        <w:t>03/2013 – 09/2014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Resolved 75+ weekly tickets including critical P1 outages in a fast-paced NOC environment.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Collaborated with LECs and carriers to restore MPLS issues, ensuring 99.99% uptime.</w:t>
      </w:r>
    </w:p>
    <w:p>
      <w:pPr>
        <w:keepNext/>
        <w:tabs>
          <w:tab w:pos="9360" w:val="right"/>
        </w:tabs>
        <w:spacing w:after="0" w:before="120" w:line="240" w:lineRule="auto"/>
        <w:jc w:val="left"/>
      </w:pPr>
      <w:r>
        <w:rPr>
          <w:rFonts w:ascii="Calibri" w:hAnsi="Calibri" w:cs="Calibri"/>
          <w:b/>
          <w:i w:val="0"/>
          <w:sz w:val="21"/>
        </w:rPr>
        <w:t>J-CURVE TECHNOLOGIES</w:t>
      </w:r>
      <w:r>
        <w:rPr>
          <w:rFonts w:ascii="Calibri" w:hAnsi="Calibri" w:cs="Calibri"/>
          <w:b w:val="0"/>
          <w:i w:val="0"/>
          <w:sz w:val="21"/>
        </w:rPr>
        <w:tab/>
        <w:t>08/2011 – 03/2013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Tier 2 VoIP Specialist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Supported 10+ enterprise Broadsoft VoIP clients simultaneously across diverse CRMs and ticketing tools in a high-volume Tier 2 environment.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Resolved 90% of inbound escalations while reducing Tier 3 volume by 40%.</w:t>
      </w:r>
    </w:p>
    <w:p>
      <w:pPr>
        <w:spacing w:after="60" w:before="18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2"/>
        </w:rPr>
        <w:t>EDUCATION &amp; CERTIFICATIONS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East Valley Information Technology School — High School Diploma, Concentration in Information Technology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Certifications (Earned): Cisco CCNA (2022) · CompTIA Security+ (2021) · CompTIA Network+ (2021)</w:t>
      </w:r>
    </w:p>
    <w:p>
      <w:pPr>
        <w:spacing w:after="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Certifications (In Progress, Targeted 2026): AWS Cloud Practitioner · HashiCorp Terraform Associate · Red Hat RHCSA · Kubernetes (KCNA → CKA)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cs="Calibri"/>
        <w:b w:val="0"/>
        <w:i w:val="0"/>
        <w:color w:val="666666"/>
        <w:sz w:val="18"/>
      </w:rPr>
      <w:t xml:space="preserve">Tom Melchionna  —  </w:t>
    </w:r>
    <w:r>
      <w:rPr>
        <w:rFonts w:ascii="Calibri" w:hAnsi="Calibri" w:cs="Calibri"/>
        <w:b w:val="0"/>
        <w:i w:val="0"/>
        <w:color w:val="666666"/>
        <w:sz w:val="18"/>
      </w:rPr>
      <w:t xml:space="preserve">Page </w:t>
    </w:r>
    <w:r>
      <w:rPr>
        <w:rFonts w:ascii="Calibri" w:hAnsi="Calibri" w:cs="Calibri"/>
        <w:b w:val="0"/>
        <w:i w:val="0"/>
        <w:sz w:val="18"/>
      </w:rPr>
      <w:fldChar w:fldCharType="begin"/>
      <w:instrText xml:space="preserve">PAGE</w:instrText>
      <w:fldChar w:fldCharType="end"/>
    </w:r>
    <w:r>
      <w:rPr>
        <w:rFonts w:ascii="Calibri" w:hAnsi="Calibri" w:cs="Calibri"/>
        <w:b w:val="0"/>
        <w:i w:val="0"/>
        <w:color w:val="666666"/>
        <w:sz w:val="18"/>
      </w:rPr>
      <w:t xml:space="preserve"> of </w:t>
    </w:r>
    <w:r>
      <w:rPr>
        <w:rFonts w:ascii="Calibri" w:hAnsi="Calibri" w:cs="Calibri"/>
        <w:b w:val="0"/>
        <w:i w:val="0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